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FC" w:rsidRPr="000D5490" w:rsidRDefault="00694BFC" w:rsidP="00694BFC">
      <w:pPr>
        <w:pStyle w:val="Zwykytekst"/>
        <w:spacing w:line="22" w:lineRule="atLeast"/>
        <w:jc w:val="center"/>
        <w:rPr>
          <w:rFonts w:ascii="Lato" w:hAnsi="Lato" w:cstheme="minorHAnsi"/>
          <w:b/>
          <w:szCs w:val="22"/>
        </w:rPr>
      </w:pPr>
      <w:r w:rsidRPr="000D5490">
        <w:rPr>
          <w:rFonts w:ascii="Lato" w:hAnsi="Lato" w:cstheme="minorHAnsi"/>
          <w:b/>
          <w:szCs w:val="22"/>
        </w:rPr>
        <w:t>METODOLOGIA OBLICZANIA MNOŻNIKÓ</w:t>
      </w:r>
      <w:r w:rsidR="009630EF" w:rsidRPr="000D5490">
        <w:rPr>
          <w:rFonts w:ascii="Lato" w:hAnsi="Lato" w:cstheme="minorHAnsi"/>
          <w:b/>
          <w:szCs w:val="22"/>
        </w:rPr>
        <w:t>W LOKALIZ</w:t>
      </w:r>
      <w:r w:rsidR="007E20CB" w:rsidRPr="000D5490">
        <w:rPr>
          <w:rFonts w:ascii="Lato" w:hAnsi="Lato" w:cstheme="minorHAnsi"/>
          <w:b/>
          <w:szCs w:val="22"/>
        </w:rPr>
        <w:t>ACYJNYCH – wersja z dnia 6 czerwca</w:t>
      </w:r>
      <w:r w:rsidR="009630EF" w:rsidRPr="000D5490">
        <w:rPr>
          <w:rFonts w:ascii="Lato" w:hAnsi="Lato" w:cstheme="minorHAnsi"/>
          <w:b/>
          <w:szCs w:val="22"/>
        </w:rPr>
        <w:t xml:space="preserve"> 2025 r.</w:t>
      </w:r>
    </w:p>
    <w:p w:rsidR="00694BFC" w:rsidRPr="000D5490" w:rsidRDefault="00694BFC" w:rsidP="00694BFC">
      <w:pPr>
        <w:pStyle w:val="Zwykytekst"/>
        <w:spacing w:line="22" w:lineRule="atLeast"/>
        <w:jc w:val="center"/>
        <w:rPr>
          <w:rFonts w:ascii="Lato" w:hAnsi="Lato" w:cstheme="minorHAnsi"/>
          <w:b/>
          <w:szCs w:val="22"/>
        </w:rPr>
      </w:pPr>
      <w:r w:rsidRPr="000D5490">
        <w:rPr>
          <w:rFonts w:ascii="Lato" w:hAnsi="Lato" w:cstheme="minorHAnsi"/>
          <w:b/>
          <w:szCs w:val="22"/>
        </w:rPr>
        <w:t>(oparta o dane z portali ogłoszeniowych)</w:t>
      </w:r>
    </w:p>
    <w:p w:rsidR="00694BFC" w:rsidRPr="000D5490" w:rsidRDefault="00694BFC" w:rsidP="00FA0FD9">
      <w:pPr>
        <w:pStyle w:val="Zwykytekst"/>
        <w:spacing w:line="22" w:lineRule="atLeast"/>
        <w:rPr>
          <w:rFonts w:ascii="Lato" w:hAnsi="Lato" w:cstheme="minorHAnsi"/>
          <w:szCs w:val="22"/>
        </w:rPr>
      </w:pPr>
    </w:p>
    <w:p w:rsidR="009630EF" w:rsidRPr="000D5490" w:rsidRDefault="009630EF" w:rsidP="002825C4">
      <w:pPr>
        <w:pStyle w:val="Zwykytekst"/>
        <w:spacing w:after="120"/>
        <w:jc w:val="both"/>
        <w:rPr>
          <w:rFonts w:ascii="Lato" w:hAnsi="Lato"/>
          <w:szCs w:val="24"/>
        </w:rPr>
      </w:pPr>
      <w:r w:rsidRPr="000D5490">
        <w:rPr>
          <w:rFonts w:ascii="Lato" w:hAnsi="Lato"/>
          <w:i/>
        </w:rPr>
        <w:t>Projekt ustawy o zmianie niektórych ustaw w związku z określeniem zasad zakwaterowania funkcjonariuszy Policji, Straży Granicznej, Państwowej Straży Pożarnej, Agencji Bezpieczeństwa Wewnętrznego, Agencji Wywiadu, Służby Kontrwywiadu Wojskowego, Służby Wywiadu Wojskowego, Służby Ochrony Państwa oraz poprawy niektórych warunków pełnienia służby</w:t>
      </w:r>
      <w:r w:rsidRPr="000D5490">
        <w:rPr>
          <w:rFonts w:ascii="Lato" w:hAnsi="Lato"/>
        </w:rPr>
        <w:t xml:space="preserve"> zakłada, że </w:t>
      </w:r>
      <w:r w:rsidRPr="000D5490">
        <w:rPr>
          <w:rFonts w:ascii="Lato" w:hAnsi="Lato"/>
          <w:szCs w:val="24"/>
          <w:u w:val="single"/>
        </w:rPr>
        <w:t>wysokość świadczenia mieszkaniowego ustala się kwotowo, jako iloczyn stawki podstawowej oraz mnożnika lokalizacyjnego ustalonego dla miejscowości pełnienia służby przez funkcjonariusza.</w:t>
      </w:r>
      <w:r w:rsidRPr="000D5490">
        <w:rPr>
          <w:rFonts w:ascii="Lato" w:hAnsi="Lato"/>
          <w:u w:val="single"/>
        </w:rPr>
        <w:t xml:space="preserve"> Przy określeniu </w:t>
      </w:r>
      <w:r w:rsidRPr="000D5490">
        <w:rPr>
          <w:rFonts w:ascii="Lato" w:hAnsi="Lato"/>
          <w:szCs w:val="24"/>
          <w:u w:val="single"/>
        </w:rPr>
        <w:t>wysokości stawki podstawowej oraz mnożników lokalizacyjnych dla powiatów właściwych ze względu na miejsce pełnienia służby funkcjonariusza uwzględnia się średnią cenę rynkową najmu lokali mieszkalnych w powiecie, w którym znajduje się miejsce pełnienia służby w jednostce organizacyjnej, a także szczególne znaczenie jednostki organizacyjnej</w:t>
      </w:r>
      <w:r w:rsidRPr="000D5490">
        <w:rPr>
          <w:rFonts w:ascii="Lato" w:hAnsi="Lato"/>
          <w:szCs w:val="24"/>
        </w:rPr>
        <w:t xml:space="preserve"> (w przypadku Policji dla ochrony bezpieczeństwa ludzi oraz do utrzymania bezpieczeństwa i porządku publicznego).</w:t>
      </w:r>
    </w:p>
    <w:p w:rsidR="009630EF" w:rsidRPr="000D5490" w:rsidRDefault="009630EF" w:rsidP="002825C4">
      <w:pPr>
        <w:pStyle w:val="Zwykytekst"/>
        <w:spacing w:after="120"/>
        <w:jc w:val="both"/>
        <w:rPr>
          <w:rFonts w:ascii="Lato" w:hAnsi="Lato"/>
          <w:szCs w:val="24"/>
        </w:rPr>
      </w:pPr>
    </w:p>
    <w:p w:rsidR="002825C4" w:rsidRPr="000D5490" w:rsidRDefault="009630EF" w:rsidP="002825C4">
      <w:pPr>
        <w:pStyle w:val="Zwykytekst"/>
        <w:spacing w:after="120"/>
        <w:jc w:val="both"/>
        <w:rPr>
          <w:rFonts w:ascii="Lato" w:hAnsi="Lato" w:cstheme="minorHAnsi"/>
        </w:rPr>
      </w:pPr>
      <w:r w:rsidRPr="000D5490">
        <w:rPr>
          <w:rFonts w:ascii="Lato" w:hAnsi="Lato"/>
        </w:rPr>
        <w:t xml:space="preserve">Mając na względzie </w:t>
      </w:r>
      <w:r w:rsidR="002825C4" w:rsidRPr="000D5490">
        <w:rPr>
          <w:rFonts w:ascii="Lato" w:hAnsi="Lato"/>
        </w:rPr>
        <w:t>uwagi strony społecznej</w:t>
      </w:r>
      <w:r w:rsidRPr="000D5490">
        <w:rPr>
          <w:rFonts w:ascii="Lato" w:hAnsi="Lato"/>
        </w:rPr>
        <w:t xml:space="preserve"> do pierwszej wersji propozycji mnożników lokalizacyjnych </w:t>
      </w:r>
      <w:r w:rsidR="002825C4" w:rsidRPr="000D5490">
        <w:rPr>
          <w:rFonts w:ascii="Lato" w:hAnsi="Lato"/>
        </w:rPr>
        <w:t>wypracowanych</w:t>
      </w:r>
      <w:r w:rsidR="002825C4" w:rsidRPr="000D5490">
        <w:rPr>
          <w:rFonts w:ascii="Lato" w:hAnsi="Lato"/>
          <w:u w:val="single"/>
        </w:rPr>
        <w:t xml:space="preserve"> </w:t>
      </w:r>
      <w:r w:rsidR="002825C4" w:rsidRPr="000D5490">
        <w:rPr>
          <w:rFonts w:ascii="Lato" w:hAnsi="Lato" w:cstheme="minorHAnsi"/>
        </w:rPr>
        <w:t>w</w:t>
      </w:r>
      <w:r w:rsidR="0085674C" w:rsidRPr="000D5490">
        <w:rPr>
          <w:rFonts w:ascii="Lato" w:hAnsi="Lato" w:cstheme="minorHAnsi"/>
        </w:rPr>
        <w:t xml:space="preserve"> toku prac grupy eksperckiej ds. mieszkaniowych Zespołu do spraw poprawy warunków pełnienia służby przez funkcjonariuszy służb podległych MSWiA lub przez niego </w:t>
      </w:r>
      <w:r w:rsidR="002825C4" w:rsidRPr="000D5490">
        <w:rPr>
          <w:rFonts w:ascii="Lato" w:hAnsi="Lato" w:cstheme="minorHAnsi"/>
        </w:rPr>
        <w:t xml:space="preserve"> </w:t>
      </w:r>
      <w:r w:rsidR="0085674C" w:rsidRPr="000D5490">
        <w:rPr>
          <w:rFonts w:ascii="Lato" w:hAnsi="Lato" w:cstheme="minorHAnsi"/>
        </w:rPr>
        <w:t xml:space="preserve">nadzorowanych </w:t>
      </w:r>
      <w:r w:rsidR="002825C4" w:rsidRPr="000D5490">
        <w:rPr>
          <w:rFonts w:ascii="Lato" w:hAnsi="Lato" w:cstheme="minorHAnsi"/>
        </w:rPr>
        <w:t>przygotowano nowe propozycje mnożników wg zmodyfikowanej metodologii ich liczenia.</w:t>
      </w:r>
    </w:p>
    <w:p w:rsidR="002825C4" w:rsidRPr="000D5490" w:rsidRDefault="002825C4" w:rsidP="002825C4">
      <w:pPr>
        <w:pStyle w:val="Zwykytekst"/>
        <w:spacing w:after="120"/>
        <w:jc w:val="both"/>
        <w:rPr>
          <w:rFonts w:ascii="Lato" w:hAnsi="Lato" w:cstheme="minorHAnsi"/>
          <w:szCs w:val="22"/>
        </w:rPr>
      </w:pPr>
      <w:r w:rsidRPr="000D5490">
        <w:rPr>
          <w:rFonts w:ascii="Lato" w:hAnsi="Lato" w:cstheme="minorHAnsi"/>
          <w:szCs w:val="22"/>
        </w:rPr>
        <w:t>Oszacowania wysokości mnożnika lokalizacyjnego dokonano:</w:t>
      </w:r>
    </w:p>
    <w:p w:rsidR="002825C4" w:rsidRPr="000D5490" w:rsidRDefault="002825C4" w:rsidP="002825C4">
      <w:pPr>
        <w:pStyle w:val="Zwykytekst"/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Lato" w:hAnsi="Lato" w:cstheme="minorHAnsi"/>
          <w:szCs w:val="22"/>
        </w:rPr>
      </w:pPr>
      <w:r w:rsidRPr="000D5490">
        <w:rPr>
          <w:rFonts w:ascii="Lato" w:hAnsi="Lato" w:cstheme="minorHAnsi"/>
          <w:b/>
          <w:szCs w:val="22"/>
        </w:rPr>
        <w:t>dla miast na prawach powiatu o liczbie mieszkańców przekraczających 100 tys. mieszkańców</w:t>
      </w:r>
      <w:r w:rsidRPr="000D5490">
        <w:rPr>
          <w:rFonts w:ascii="Lato" w:hAnsi="Lato" w:cstheme="minorHAnsi"/>
          <w:szCs w:val="22"/>
        </w:rPr>
        <w:t xml:space="preserve"> – na podstawie statystyk Otodom: </w:t>
      </w:r>
      <w:r w:rsidRPr="000D5490">
        <w:rPr>
          <w:rFonts w:ascii="Lato" w:hAnsi="Lato" w:cstheme="minorHAnsi"/>
          <w:i/>
          <w:szCs w:val="22"/>
        </w:rPr>
        <w:t>Dane Otodom: aktualne ceny ofertowe mieszkań i domów oraz  ceny najmu w 40 największych miastach</w:t>
      </w:r>
      <w:r w:rsidRPr="000D5490">
        <w:rPr>
          <w:rFonts w:ascii="Lato" w:hAnsi="Lato" w:cstheme="minorHAnsi"/>
          <w:szCs w:val="22"/>
        </w:rPr>
        <w:t>. Pod uwagę brano uśrednione ceny najmu mieszkań o powierzchni od 40 do 59 m</w:t>
      </w:r>
      <w:r w:rsidRPr="000D5490">
        <w:rPr>
          <w:rFonts w:ascii="Lato" w:hAnsi="Lato" w:cstheme="minorHAnsi"/>
          <w:szCs w:val="22"/>
          <w:vertAlign w:val="superscript"/>
        </w:rPr>
        <w:t>2</w:t>
      </w:r>
      <w:r w:rsidRPr="000D5490">
        <w:rPr>
          <w:rFonts w:ascii="Lato" w:hAnsi="Lato" w:cstheme="minorHAnsi"/>
          <w:szCs w:val="22"/>
        </w:rPr>
        <w:t xml:space="preserve"> wg stanu na luty 2025 r.</w:t>
      </w:r>
    </w:p>
    <w:p w:rsidR="002825C4" w:rsidRPr="000D5490" w:rsidRDefault="002825C4" w:rsidP="002825C4">
      <w:pPr>
        <w:spacing w:after="120" w:line="240" w:lineRule="auto"/>
        <w:ind w:left="284"/>
        <w:jc w:val="both"/>
        <w:rPr>
          <w:rFonts w:ascii="Lato" w:hAnsi="Lato" w:cstheme="minorHAnsi"/>
          <w:noProof/>
          <w:lang w:eastAsia="pl-PL"/>
        </w:rPr>
      </w:pPr>
      <w:r w:rsidRPr="000D5490">
        <w:rPr>
          <w:rFonts w:ascii="Lato" w:hAnsi="Lato" w:cstheme="minorHAnsi"/>
          <w:noProof/>
          <w:lang w:eastAsia="pl-PL"/>
        </w:rPr>
        <w:t xml:space="preserve">Na podstawie ww. cen ustalono mnożniki: </w:t>
      </w:r>
    </w:p>
    <w:p w:rsidR="002825C4" w:rsidRPr="000D5490" w:rsidRDefault="002825C4" w:rsidP="002825C4">
      <w:pPr>
        <w:pStyle w:val="Akapitzlist"/>
        <w:numPr>
          <w:ilvl w:val="0"/>
          <w:numId w:val="4"/>
        </w:numPr>
        <w:spacing w:after="120" w:line="240" w:lineRule="auto"/>
        <w:ind w:left="709"/>
        <w:jc w:val="both"/>
        <w:rPr>
          <w:rFonts w:ascii="Lato" w:hAnsi="Lato" w:cstheme="minorHAnsi"/>
          <w:noProof/>
          <w:lang w:eastAsia="pl-PL"/>
        </w:rPr>
      </w:pPr>
      <w:r w:rsidRPr="000D5490">
        <w:rPr>
          <w:rFonts w:ascii="Lato" w:hAnsi="Lato" w:cstheme="minorHAnsi"/>
          <w:noProof/>
          <w:lang w:eastAsia="pl-PL"/>
        </w:rPr>
        <w:t>m. st. Warszawa, w którym średnia cena najmu jest najwyższa w Polsce i wynosi 3887 zł, co odpowiada wartości mnożnika w wysokości 6 i stanowi odniesienie do średnich cen w pozostałych miejscowościach (czyli 3887zł = 100%);</w:t>
      </w:r>
    </w:p>
    <w:p w:rsidR="002825C4" w:rsidRPr="000D5490" w:rsidRDefault="002825C4" w:rsidP="002825C4">
      <w:pPr>
        <w:pStyle w:val="Akapitzlist"/>
        <w:numPr>
          <w:ilvl w:val="0"/>
          <w:numId w:val="4"/>
        </w:numPr>
        <w:spacing w:after="120" w:line="240" w:lineRule="auto"/>
        <w:ind w:left="709"/>
        <w:jc w:val="both"/>
        <w:rPr>
          <w:rFonts w:ascii="Lato" w:hAnsi="Lato" w:cstheme="minorHAnsi"/>
          <w:noProof/>
          <w:lang w:eastAsia="pl-PL"/>
        </w:rPr>
      </w:pPr>
      <w:r w:rsidRPr="000D5490">
        <w:rPr>
          <w:rFonts w:ascii="Lato" w:hAnsi="Lato" w:cstheme="minorHAnsi"/>
          <w:noProof/>
          <w:lang w:eastAsia="pl-PL"/>
        </w:rPr>
        <w:t xml:space="preserve">dla pozostałych miast przyjęto wg wzoru: </w:t>
      </w:r>
    </w:p>
    <w:p w:rsidR="002825C4" w:rsidRPr="000D5490" w:rsidRDefault="002825C4" w:rsidP="002825C4">
      <w:pPr>
        <w:spacing w:after="120" w:line="240" w:lineRule="auto"/>
        <w:ind w:left="567"/>
        <w:jc w:val="both"/>
        <w:rPr>
          <w:rFonts w:ascii="Lato" w:eastAsiaTheme="minorEastAsia" w:hAnsi="Lato" w:cstheme="minorHAnsi"/>
          <w:noProof/>
          <w:lang w:eastAsia="pl-PL"/>
        </w:rPr>
      </w:pPr>
      <w:r w:rsidRPr="000D5490">
        <w:rPr>
          <w:rFonts w:ascii="Lato" w:hAnsi="Lato" w:cstheme="minorHAnsi"/>
          <w:noProof/>
          <w:lang w:eastAsia="pl-PL"/>
        </w:rPr>
        <w:t xml:space="preserve">x </w:t>
      </w:r>
      <m:oMath>
        <m:r>
          <m:rPr>
            <m:sty m:val="p"/>
          </m:rPr>
          <w:rPr>
            <w:rFonts w:ascii="Cambria Math" w:hAnsi="Cambria Math" w:cs="Cambria Math"/>
            <w:noProof/>
            <w:lang w:eastAsia="pl-PL"/>
          </w:rPr>
          <m:t>=</m:t>
        </m:r>
        <m:f>
          <m:fPr>
            <m:ctrlPr>
              <w:rPr>
                <w:rFonts w:ascii="Cambria Math" w:hAnsi="Cambria Math" w:cstheme="minorHAnsi"/>
                <w:noProof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noProof/>
                <w:lang w:eastAsia="pl-PL"/>
              </w:rPr>
              <m:t xml:space="preserve">średnia cena najmu w danej miejscowości 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lang w:eastAsia="pl-PL"/>
              </w:rPr>
              <m:t>średnia cena najmu w m. st. Warszawa</m:t>
            </m:r>
            <m:r>
              <w:rPr>
                <w:rFonts w:ascii="Cambria Math" w:hAnsi="Cambria Math" w:cstheme="minorHAnsi"/>
                <w:noProof/>
                <w:lang w:eastAsia="pl-PL"/>
              </w:rPr>
              <m:t xml:space="preserve"> </m:t>
            </m:r>
          </m:den>
        </m:f>
      </m:oMath>
      <w:r w:rsidRPr="000D5490">
        <w:rPr>
          <w:rFonts w:ascii="Lato" w:eastAsiaTheme="minorEastAsia" w:hAnsi="Lato" w:cstheme="minorHAnsi"/>
          <w:noProof/>
          <w:lang w:eastAsia="pl-PL"/>
        </w:rPr>
        <w:t xml:space="preserve"> x mnożnik 6</w:t>
      </w:r>
    </w:p>
    <w:p w:rsidR="002825C4" w:rsidRPr="000D5490" w:rsidRDefault="002825C4" w:rsidP="002825C4">
      <w:pPr>
        <w:spacing w:after="120" w:line="240" w:lineRule="auto"/>
        <w:ind w:left="567"/>
        <w:jc w:val="both"/>
        <w:rPr>
          <w:rFonts w:ascii="Lato" w:eastAsiaTheme="minorEastAsia" w:hAnsi="Lato" w:cstheme="minorHAnsi"/>
          <w:noProof/>
          <w:lang w:eastAsia="pl-PL"/>
        </w:rPr>
      </w:pPr>
    </w:p>
    <w:p w:rsidR="002825C4" w:rsidRPr="000D5490" w:rsidRDefault="002825C4" w:rsidP="002825C4">
      <w:pPr>
        <w:pStyle w:val="Zwykytekst"/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Lato" w:hAnsi="Lato" w:cstheme="minorHAnsi"/>
          <w:szCs w:val="22"/>
        </w:rPr>
      </w:pPr>
      <w:r w:rsidRPr="000D5490">
        <w:rPr>
          <w:rFonts w:ascii="Lato" w:hAnsi="Lato" w:cstheme="minorHAnsi"/>
          <w:b/>
        </w:rPr>
        <w:t>dla pozostałych powiatów</w:t>
      </w:r>
      <w:r w:rsidRPr="000D5490">
        <w:rPr>
          <w:rFonts w:ascii="Lato" w:hAnsi="Lato" w:cstheme="minorHAnsi"/>
        </w:rPr>
        <w:t xml:space="preserve"> – na podstawie portali ogłoszeniowych Otodom i OLX.  </w:t>
      </w:r>
      <w:r w:rsidRPr="000D5490">
        <w:rPr>
          <w:rFonts w:ascii="Lato" w:hAnsi="Lato" w:cstheme="minorHAnsi"/>
          <w:szCs w:val="22"/>
        </w:rPr>
        <w:t>Pod uwagę brano uśrednione ceny najmu mieszkań o powierzchni od 40 do 59 m</w:t>
      </w:r>
      <w:r w:rsidRPr="000D5490">
        <w:rPr>
          <w:rFonts w:ascii="Lato" w:hAnsi="Lato" w:cstheme="minorHAnsi"/>
          <w:szCs w:val="22"/>
          <w:vertAlign w:val="superscript"/>
        </w:rPr>
        <w:t>2</w:t>
      </w:r>
      <w:r w:rsidRPr="000D5490">
        <w:rPr>
          <w:rFonts w:ascii="Lato" w:hAnsi="Lato" w:cstheme="minorHAnsi"/>
          <w:szCs w:val="22"/>
        </w:rPr>
        <w:t xml:space="preserve">, w mieście stanowiącym siedzibę powiatu, wg ogłoszeń danego dnia. Badanie cen przeprowadzono w okresie od 3.04 - 14.04.2025 r. biorąc pod uwagę w pierwszej kolejności portal Otodom, następnie OLX. Obliczenie średniej ceny przeprowadzono z max. 8 najnowszych na dany dzień ogłoszeń, przy czym pod uwagę brano cenę czynszu wolnego (tzw. odstępnego) lokalu mieszkalnego. W przypadku mniejszej liczby ogłoszeń pod uwagę brano wszystkie dostępne ogłoszenia na portalu Otodom i OLX, spełniające ww. kryteria. </w:t>
      </w:r>
    </w:p>
    <w:p w:rsidR="002825C4" w:rsidRPr="000D5490" w:rsidRDefault="002825C4" w:rsidP="002825C4">
      <w:pPr>
        <w:spacing w:after="120" w:line="240" w:lineRule="auto"/>
        <w:ind w:left="284"/>
        <w:jc w:val="both"/>
        <w:rPr>
          <w:rFonts w:ascii="Lato" w:hAnsi="Lato" w:cstheme="minorHAnsi"/>
          <w:noProof/>
          <w:lang w:eastAsia="pl-PL"/>
        </w:rPr>
      </w:pPr>
      <w:r w:rsidRPr="000D5490">
        <w:rPr>
          <w:rFonts w:ascii="Lato" w:hAnsi="Lato" w:cstheme="minorHAnsi"/>
          <w:noProof/>
          <w:lang w:eastAsia="pl-PL"/>
        </w:rPr>
        <w:t xml:space="preserve">Na podstawie cen ustalonych wg ww. metodologi przyjeto mnożniki w sposób analogiczny do punktu 1. </w:t>
      </w:r>
    </w:p>
    <w:p w:rsidR="002825C4" w:rsidRPr="000D5490" w:rsidRDefault="002825C4" w:rsidP="002825C4">
      <w:pPr>
        <w:pStyle w:val="Zwykytekst"/>
        <w:spacing w:after="120"/>
        <w:jc w:val="both"/>
        <w:rPr>
          <w:rFonts w:ascii="Lato" w:hAnsi="Lato" w:cstheme="minorHAnsi"/>
        </w:rPr>
      </w:pPr>
    </w:p>
    <w:p w:rsidR="002825C4" w:rsidRPr="000D5490" w:rsidRDefault="002825C4" w:rsidP="002825C4">
      <w:pPr>
        <w:pStyle w:val="Zwykytekst"/>
        <w:spacing w:after="120"/>
        <w:jc w:val="both"/>
        <w:rPr>
          <w:rFonts w:ascii="Lato" w:hAnsi="Lato" w:cstheme="minorHAnsi"/>
        </w:rPr>
      </w:pPr>
    </w:p>
    <w:p w:rsidR="008039EA" w:rsidRPr="000D5490" w:rsidRDefault="002825C4" w:rsidP="002825C4">
      <w:pPr>
        <w:pStyle w:val="Zwykytekst"/>
        <w:spacing w:after="120"/>
        <w:jc w:val="both"/>
        <w:rPr>
          <w:rFonts w:ascii="Lato" w:hAnsi="Lato" w:cstheme="minorHAnsi"/>
        </w:rPr>
      </w:pPr>
      <w:r w:rsidRPr="000D5490">
        <w:rPr>
          <w:rFonts w:ascii="Lato" w:hAnsi="Lato" w:cstheme="minorHAnsi"/>
        </w:rPr>
        <w:lastRenderedPageBreak/>
        <w:t>Propozycje mnożników lokalizacyjnych</w:t>
      </w:r>
      <w:r w:rsidR="0085674C" w:rsidRPr="000D5490">
        <w:rPr>
          <w:rFonts w:ascii="Lato" w:hAnsi="Lato" w:cstheme="minorHAnsi"/>
        </w:rPr>
        <w:t xml:space="preserve"> </w:t>
      </w:r>
      <w:r w:rsidRPr="000D5490">
        <w:rPr>
          <w:rFonts w:ascii="Lato" w:hAnsi="Lato" w:cstheme="minorHAnsi"/>
        </w:rPr>
        <w:t xml:space="preserve">określone zostały, co do zasady, w identycznej </w:t>
      </w:r>
      <w:r w:rsidR="0085674C" w:rsidRPr="000D5490">
        <w:rPr>
          <w:rFonts w:ascii="Lato" w:hAnsi="Lato" w:cstheme="minorHAnsi"/>
        </w:rPr>
        <w:t>wysokości dla wszystkich służb podległych ministrowi właściwemu d</w:t>
      </w:r>
      <w:r w:rsidRPr="000D5490">
        <w:rPr>
          <w:rFonts w:ascii="Lato" w:hAnsi="Lato" w:cstheme="minorHAnsi"/>
        </w:rPr>
        <w:t>s. wewnętrznych w danym powiecie</w:t>
      </w:r>
      <w:r w:rsidR="0085674C" w:rsidRPr="000D5490">
        <w:rPr>
          <w:rFonts w:ascii="Lato" w:hAnsi="Lato" w:cstheme="minorHAnsi"/>
        </w:rPr>
        <w:t>.</w:t>
      </w:r>
      <w:r w:rsidR="0021385A" w:rsidRPr="000D5490">
        <w:rPr>
          <w:rFonts w:ascii="Lato" w:hAnsi="Lato" w:cstheme="minorHAnsi"/>
        </w:rPr>
        <w:t xml:space="preserve"> </w:t>
      </w:r>
      <w:r w:rsidRPr="000D5490">
        <w:rPr>
          <w:rFonts w:ascii="Lato" w:hAnsi="Lato" w:cstheme="minorHAnsi"/>
        </w:rPr>
        <w:t>S</w:t>
      </w:r>
      <w:r w:rsidR="0085674C" w:rsidRPr="000D5490">
        <w:rPr>
          <w:rFonts w:ascii="Lato" w:hAnsi="Lato" w:cstheme="minorHAnsi"/>
        </w:rPr>
        <w:t>poradyczne odstępstwa od przedmiotowej reguły wynikają ze szczególnego znaczenia dan</w:t>
      </w:r>
      <w:r w:rsidR="00B62695" w:rsidRPr="000D5490">
        <w:rPr>
          <w:rFonts w:ascii="Lato" w:hAnsi="Lato" w:cstheme="minorHAnsi"/>
        </w:rPr>
        <w:t>ej jednostki organizacyjnej w danej służbie.</w:t>
      </w:r>
      <w:r w:rsidR="008039EA" w:rsidRPr="000D5490">
        <w:rPr>
          <w:rFonts w:ascii="Lato" w:hAnsi="Lato" w:cstheme="minorHAnsi"/>
        </w:rPr>
        <w:t xml:space="preserve"> </w:t>
      </w:r>
    </w:p>
    <w:p w:rsidR="00D4566B" w:rsidRPr="000D5490" w:rsidRDefault="008039EA" w:rsidP="002825C4">
      <w:p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 xml:space="preserve">W Straży Granicznej dotyczy to powiatu grójeckiego i powiatu nowodworskiego (województwo mazowieckie), w których siedzibę ma Lotnisko Modlin i PSG Lesznowola. Obie te placówki biorąc pod uwagę potrzeby służby, zostały objęte współczynnikiem 6,0. Przyznanie wskaźnika mieszkaniowego na poziomie 6,0 dla ww. placówek SG pozwoli na elastyczne zarządzanie kadrą w ramach posiadanych zasobów ludzkich Nadwiślańskiego Oddziału Straży Granicznej. Siedziba PSG Warszawa-Modlin mieści się na terenie międzynarodowego portu lotniczego w Nowym Dworze Mazowieckim, drugiego lotniska aglomeracji warszawskiej, natomiast PSG w Lesznowoli mieści się w powiecie grójeckim i obejmuje swoją odpowiedzialnością służbową kompleks budynków Strzeżonego Ośrodka dla Cudzoziemców. Duże zróżnicowanie stawek w ramach jednego oddziału w lokalizacjach znajdujących się w pobliskich miejscowościach pogłębi już istniejące braki kadrowe związane ze </w:t>
      </w:r>
      <w:r w:rsidRPr="000D5490">
        <w:rPr>
          <w:rFonts w:ascii="Lato" w:hAnsi="Lato" w:cs="Lato"/>
          <w:b/>
        </w:rPr>
        <w:t>szczególną specyfiką</w:t>
      </w:r>
      <w:r w:rsidRPr="000D5490">
        <w:rPr>
          <w:rFonts w:ascii="Lato" w:hAnsi="Lato" w:cs="Lato"/>
        </w:rPr>
        <w:t xml:space="preserve"> służby w ww. placówkach oraz spowoduje brak zainteresowania funkcjonariuszy pełnieniem służby w powyższych lokalizacjach. Przyczyni się to także do odpływu doświadczonej kadry funkcjonariuszy do miejscowości pobliskich z wyższym wskaźnikiem mieszkaniowym.</w:t>
      </w:r>
    </w:p>
    <w:p w:rsidR="0053259B" w:rsidRPr="000D5490" w:rsidRDefault="0053259B" w:rsidP="002825C4">
      <w:pPr>
        <w:spacing w:after="120" w:line="240" w:lineRule="auto"/>
        <w:jc w:val="both"/>
        <w:rPr>
          <w:rFonts w:ascii="Lato" w:hAnsi="Lato" w:cs="Lato"/>
        </w:rPr>
      </w:pPr>
    </w:p>
    <w:p w:rsidR="00E14625" w:rsidRPr="000D5490" w:rsidRDefault="00E14625" w:rsidP="002825C4">
      <w:p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>Dodatkowo, na uzyskane w wyniku powyższej kalkulacji m</w:t>
      </w:r>
      <w:r w:rsidR="00430D14" w:rsidRPr="000D5490">
        <w:rPr>
          <w:rFonts w:ascii="Lato" w:hAnsi="Lato" w:cs="Lato"/>
        </w:rPr>
        <w:t>nożniki lokalizacyjne przyjęto</w:t>
      </w:r>
      <w:r w:rsidRPr="000D5490">
        <w:rPr>
          <w:rFonts w:ascii="Lato" w:hAnsi="Lato" w:cs="Lato"/>
        </w:rPr>
        <w:t xml:space="preserve"> poniższe modyfikatory</w:t>
      </w:r>
      <w:r w:rsidR="00430D14" w:rsidRPr="000D5490">
        <w:rPr>
          <w:rFonts w:ascii="Lato" w:hAnsi="Lato" w:cs="Lato"/>
        </w:rPr>
        <w:t>:</w:t>
      </w:r>
    </w:p>
    <w:p w:rsidR="00E14625" w:rsidRPr="000D5490" w:rsidRDefault="00E14625" w:rsidP="003803E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>miasto wojewódzkie – najwyższy mnożnik w województwie</w:t>
      </w:r>
      <w:r w:rsidR="00A22661" w:rsidRPr="000D5490">
        <w:rPr>
          <w:rFonts w:ascii="Lato" w:hAnsi="Lato" w:cs="Lato"/>
        </w:rPr>
        <w:t xml:space="preserve"> </w:t>
      </w:r>
      <w:r w:rsidR="00A22661" w:rsidRPr="000D5490">
        <w:rPr>
          <w:rFonts w:ascii="Lato" w:hAnsi="Lato" w:cs="Lato"/>
          <w:b/>
        </w:rPr>
        <w:t>(przyznano dodatkowo +0.1)</w:t>
      </w:r>
    </w:p>
    <w:p w:rsidR="00A85633" w:rsidRPr="000D5490" w:rsidRDefault="00A85633" w:rsidP="00A85633">
      <w:pPr>
        <w:pStyle w:val="Akapitzlist"/>
        <w:spacing w:after="120" w:line="240" w:lineRule="auto"/>
        <w:jc w:val="both"/>
        <w:rPr>
          <w:rFonts w:ascii="Lato" w:hAnsi="Lato" w:cs="Lato"/>
        </w:rPr>
      </w:pPr>
    </w:p>
    <w:p w:rsidR="00A85633" w:rsidRPr="000D5490" w:rsidRDefault="00E14625" w:rsidP="00A85633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/>
        </w:rPr>
      </w:pPr>
      <w:r w:rsidRPr="000D5490">
        <w:rPr>
          <w:rFonts w:ascii="Lato" w:hAnsi="Lato" w:cs="Lato"/>
        </w:rPr>
        <w:t xml:space="preserve">byłe miasta wojewódzkie </w:t>
      </w:r>
      <w:r w:rsidRPr="000D5490">
        <w:rPr>
          <w:rFonts w:ascii="Lato" w:hAnsi="Lato" w:cs="Lato"/>
          <w:u w:val="single"/>
        </w:rPr>
        <w:t>będące powiatami grodzkimi</w:t>
      </w:r>
      <w:r w:rsidRPr="000D5490">
        <w:rPr>
          <w:rFonts w:ascii="Lato" w:hAnsi="Lato" w:cs="Lato"/>
        </w:rPr>
        <w:t xml:space="preserve"> - </w:t>
      </w:r>
      <w:r w:rsidRPr="000D5490">
        <w:rPr>
          <w:rFonts w:ascii="Lato" w:hAnsi="Lato" w:cs="Lato"/>
          <w:b/>
        </w:rPr>
        <w:t>+ 0.</w:t>
      </w:r>
      <w:r w:rsidR="00A22661" w:rsidRPr="000D5490">
        <w:rPr>
          <w:rFonts w:ascii="Lato" w:hAnsi="Lato" w:cs="Lato"/>
          <w:b/>
        </w:rPr>
        <w:t>1</w:t>
      </w:r>
      <w:r w:rsidR="00B00990" w:rsidRPr="000D5490">
        <w:rPr>
          <w:rFonts w:ascii="Lato" w:hAnsi="Lato" w:cs="Lato"/>
        </w:rPr>
        <w:t xml:space="preserve">, </w:t>
      </w:r>
      <w:r w:rsidR="00E51236" w:rsidRPr="000D5490">
        <w:rPr>
          <w:rFonts w:ascii="Lato" w:hAnsi="Lato" w:cs="Lato"/>
        </w:rPr>
        <w:t xml:space="preserve">z zastrzeżeniem, </w:t>
      </w:r>
      <w:r w:rsidR="00A85633" w:rsidRPr="000D5490">
        <w:rPr>
          <w:rFonts w:ascii="Lato" w:hAnsi="Lato" w:cs="Lato"/>
        </w:rPr>
        <w:br/>
      </w:r>
      <w:r w:rsidR="00E51236" w:rsidRPr="000D5490">
        <w:rPr>
          <w:rFonts w:ascii="Lato" w:hAnsi="Lato" w:cs="Lato"/>
        </w:rPr>
        <w:t>iż</w:t>
      </w:r>
      <w:r w:rsidR="00A85633" w:rsidRPr="000D5490">
        <w:rPr>
          <w:rFonts w:ascii="Lato" w:hAnsi="Lato" w:cs="Lato"/>
        </w:rPr>
        <w:t xml:space="preserve"> </w:t>
      </w:r>
      <w:r w:rsidR="00B00990" w:rsidRPr="000D5490">
        <w:rPr>
          <w:rFonts w:ascii="Lato" w:hAnsi="Lato" w:cs="Lato"/>
        </w:rPr>
        <w:t>w przypadku gdy w danym województwie siedziba organów samorządu województwa/marszałka i zarządu województwa</w:t>
      </w:r>
      <w:r w:rsidR="00E51236" w:rsidRPr="000D5490">
        <w:rPr>
          <w:rFonts w:ascii="Lato" w:hAnsi="Lato" w:cs="Lato"/>
        </w:rPr>
        <w:t>/</w:t>
      </w:r>
      <w:r w:rsidR="00B00990" w:rsidRPr="000D5490">
        <w:rPr>
          <w:rFonts w:ascii="Lato" w:hAnsi="Lato" w:cs="Lato"/>
        </w:rPr>
        <w:t xml:space="preserve">Sejmiku Województwa – znajdują </w:t>
      </w:r>
      <w:r w:rsidR="00E51236" w:rsidRPr="000D5490">
        <w:rPr>
          <w:rFonts w:ascii="Lato" w:hAnsi="Lato" w:cs="Lato"/>
        </w:rPr>
        <w:t>się w takim mieście</w:t>
      </w:r>
      <w:r w:rsidR="00B00990" w:rsidRPr="000D5490">
        <w:rPr>
          <w:rFonts w:ascii="Lato" w:hAnsi="Lato" w:cs="Lato"/>
        </w:rPr>
        <w:t xml:space="preserve"> </w:t>
      </w:r>
      <w:r w:rsidR="00E51236" w:rsidRPr="000D5490">
        <w:rPr>
          <w:rFonts w:ascii="Lato" w:hAnsi="Lato" w:cs="Lato"/>
        </w:rPr>
        <w:t xml:space="preserve">przyjęto, że </w:t>
      </w:r>
      <w:r w:rsidR="00B00990" w:rsidRPr="000D5490">
        <w:rPr>
          <w:rFonts w:ascii="Lato" w:hAnsi="Lato" w:cs="Lato"/>
        </w:rPr>
        <w:t xml:space="preserve">mnożnik lokalizacyjny wynosi mnożnik dla miasta wojewódzkiego </w:t>
      </w:r>
      <w:r w:rsidR="00B00990" w:rsidRPr="000D5490">
        <w:rPr>
          <w:rFonts w:ascii="Lato" w:hAnsi="Lato" w:cs="Lato"/>
          <w:b/>
        </w:rPr>
        <w:t>minus 0.1</w:t>
      </w:r>
      <w:r w:rsidR="00B00990" w:rsidRPr="000D5490">
        <w:rPr>
          <w:rFonts w:ascii="Lato" w:hAnsi="Lato" w:cs="Lato"/>
        </w:rPr>
        <w:t xml:space="preserve"> (o ile z mnożnika cenowego nie uzyskano wartości wyższej tj</w:t>
      </w:r>
      <w:r w:rsidR="00E51236" w:rsidRPr="000D5490">
        <w:rPr>
          <w:rFonts w:ascii="Lato" w:hAnsi="Lato" w:cs="Lato"/>
        </w:rPr>
        <w:t>.</w:t>
      </w:r>
      <w:r w:rsidR="00B00990" w:rsidRPr="000D5490">
        <w:rPr>
          <w:rFonts w:ascii="Lato" w:hAnsi="Lato" w:cs="Lato"/>
        </w:rPr>
        <w:t xml:space="preserve"> równej z miastem wojewódzkim).</w:t>
      </w:r>
    </w:p>
    <w:p w:rsidR="00B00990" w:rsidRPr="000D5490" w:rsidRDefault="00A85633" w:rsidP="00A85633">
      <w:pPr>
        <w:pStyle w:val="Akapitzlist"/>
        <w:spacing w:after="120" w:line="240" w:lineRule="auto"/>
        <w:jc w:val="both"/>
        <w:rPr>
          <w:rFonts w:ascii="Lato" w:hAnsi="Lato"/>
        </w:rPr>
      </w:pPr>
      <w:r w:rsidRPr="000D5490">
        <w:rPr>
          <w:rFonts w:ascii="Lato" w:hAnsi="Lato" w:cs="Lato"/>
        </w:rPr>
        <w:t xml:space="preserve"> </w:t>
      </w:r>
    </w:p>
    <w:p w:rsidR="00E14625" w:rsidRPr="000D5490" w:rsidRDefault="00E14625" w:rsidP="003803E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>wakaty:</w:t>
      </w:r>
    </w:p>
    <w:p w:rsidR="00E14625" w:rsidRPr="000D5490" w:rsidRDefault="00E14625" w:rsidP="003803E0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 xml:space="preserve">10% – 19% - </w:t>
      </w:r>
      <w:r w:rsidRPr="000D5490">
        <w:rPr>
          <w:rFonts w:ascii="Lato" w:hAnsi="Lato" w:cs="Lato"/>
          <w:b/>
        </w:rPr>
        <w:t>+0.1</w:t>
      </w:r>
    </w:p>
    <w:p w:rsidR="00E14625" w:rsidRPr="000D5490" w:rsidRDefault="00E14625" w:rsidP="003803E0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 xml:space="preserve">20% – 29% - </w:t>
      </w:r>
      <w:r w:rsidRPr="000D5490">
        <w:rPr>
          <w:rFonts w:ascii="Lato" w:hAnsi="Lato" w:cs="Lato"/>
          <w:b/>
        </w:rPr>
        <w:t>+0.2</w:t>
      </w:r>
    </w:p>
    <w:p w:rsidR="00E14625" w:rsidRPr="000D5490" w:rsidRDefault="00E14625" w:rsidP="003803E0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 xml:space="preserve">30% i więcej - </w:t>
      </w:r>
      <w:r w:rsidRPr="000D5490">
        <w:rPr>
          <w:rFonts w:ascii="Lato" w:hAnsi="Lato" w:cs="Lato"/>
          <w:b/>
        </w:rPr>
        <w:t>+ 0.3</w:t>
      </w:r>
    </w:p>
    <w:p w:rsidR="00A85633" w:rsidRPr="000D5490" w:rsidRDefault="00A85633" w:rsidP="00A85633">
      <w:pPr>
        <w:pStyle w:val="Akapitzlist"/>
        <w:spacing w:after="120" w:line="240" w:lineRule="auto"/>
        <w:ind w:left="1440"/>
        <w:jc w:val="both"/>
        <w:rPr>
          <w:rFonts w:ascii="Lato" w:hAnsi="Lato" w:cs="Lato"/>
        </w:rPr>
      </w:pPr>
    </w:p>
    <w:p w:rsidR="00501809" w:rsidRPr="000D5490" w:rsidRDefault="00E14625" w:rsidP="00AD52B2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 xml:space="preserve">Aglomeracja Śląska (miasta </w:t>
      </w:r>
      <w:r w:rsidR="00C55270" w:rsidRPr="000D5490">
        <w:rPr>
          <w:rFonts w:ascii="Lato" w:hAnsi="Lato" w:cs="Lato"/>
        </w:rPr>
        <w:t xml:space="preserve">na prawach powiatu oraz miasta </w:t>
      </w:r>
      <w:r w:rsidRPr="000D5490">
        <w:rPr>
          <w:rFonts w:ascii="Lato" w:hAnsi="Lato" w:cs="Lato"/>
        </w:rPr>
        <w:t>powiatowe wg Rozporządzenia Rady Ministrów z dnia 26 czerwca 2017 r. w sprawie utworzenia w województwie śląskim związku metropolitalnego pod nazwą "Górnośląsko-Zagłębiowska Metropolia" Dz.U. 2017 poz. 1290) –</w:t>
      </w:r>
      <w:r w:rsidR="00BF4E4D" w:rsidRPr="000D5490">
        <w:rPr>
          <w:rFonts w:ascii="Lato" w:hAnsi="Lato"/>
        </w:rPr>
        <w:t xml:space="preserve"> mnożnik lokalizacyjny ustalony w oparci</w:t>
      </w:r>
      <w:r w:rsidR="00501809" w:rsidRPr="000D5490">
        <w:rPr>
          <w:rFonts w:ascii="Lato" w:hAnsi="Lato"/>
        </w:rPr>
        <w:t>u o ceny najmu mieszkań wynosi przykładowo</w:t>
      </w:r>
      <w:r w:rsidR="00BF4E4D" w:rsidRPr="000D5490">
        <w:rPr>
          <w:rFonts w:ascii="Lato" w:hAnsi="Lato"/>
        </w:rPr>
        <w:t>:</w:t>
      </w:r>
      <w:r w:rsidR="00501809" w:rsidRPr="000D5490">
        <w:rPr>
          <w:rFonts w:ascii="Lato" w:hAnsi="Lato"/>
        </w:rPr>
        <w:t xml:space="preserve"> </w:t>
      </w:r>
      <w:r w:rsidR="00BF4E4D" w:rsidRPr="000D5490">
        <w:rPr>
          <w:rFonts w:ascii="Lato" w:hAnsi="Lato"/>
        </w:rPr>
        <w:t xml:space="preserve">najwyższy </w:t>
      </w:r>
      <w:r w:rsidR="00501809" w:rsidRPr="000D5490">
        <w:rPr>
          <w:rFonts w:ascii="Lato" w:hAnsi="Lato"/>
        </w:rPr>
        <w:t xml:space="preserve">dla m. </w:t>
      </w:r>
      <w:r w:rsidR="00BF4E4D" w:rsidRPr="000D5490">
        <w:rPr>
          <w:rFonts w:ascii="Lato" w:hAnsi="Lato"/>
        </w:rPr>
        <w:t>Katowice 3.7 (poziom wakatów 12%), Tychy 3.7 (poziom wakatów 14%), Gliwice 3.6 (poziom wak</w:t>
      </w:r>
      <w:r w:rsidR="00501809" w:rsidRPr="000D5490">
        <w:rPr>
          <w:rFonts w:ascii="Lato" w:hAnsi="Lato"/>
        </w:rPr>
        <w:t xml:space="preserve">atów 16%), pozostałe mnożniki kształtowały się na niższym poziomie </w:t>
      </w:r>
      <w:r w:rsidR="00BF4E4D" w:rsidRPr="000D5490">
        <w:rPr>
          <w:rFonts w:ascii="Lato" w:hAnsi="Lato"/>
        </w:rPr>
        <w:t>(np. Sosnowiec 3.0 (poziom wakatów 24%)).</w:t>
      </w:r>
      <w:r w:rsidR="00BF4E4D" w:rsidRPr="000D5490">
        <w:rPr>
          <w:rFonts w:ascii="Lato" w:hAnsi="Lato" w:cs="Lato"/>
        </w:rPr>
        <w:t xml:space="preserve"> </w:t>
      </w:r>
    </w:p>
    <w:p w:rsidR="00BF4E4D" w:rsidRPr="000D5490" w:rsidRDefault="007E20CB" w:rsidP="00501809">
      <w:pPr>
        <w:pStyle w:val="Akapitzlist"/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t>W</w:t>
      </w:r>
      <w:r w:rsidR="00501809" w:rsidRPr="000D5490">
        <w:rPr>
          <w:rFonts w:ascii="Lato" w:hAnsi="Lato" w:cs="Lato"/>
        </w:rPr>
        <w:t xml:space="preserve"> związku z wnioskiem KGP podnoszącym, iż </w:t>
      </w:r>
      <w:r w:rsidR="00501809" w:rsidRPr="000D5490">
        <w:rPr>
          <w:rFonts w:ascii="Lato" w:hAnsi="Lato"/>
        </w:rPr>
        <w:t>ze względu na specyfikę i skalę zadań Policji właściwych dla tego regionu, który charakteryzuje się wysoką gęstością zaludnienia, koncentracją przemysłu, klubów piłkarskich oraz złożoną strukturą społeczną, generując ponadprzeciętne obciążenie zadaniami służbowymi</w:t>
      </w:r>
      <w:r w:rsidRPr="000D5490">
        <w:rPr>
          <w:rFonts w:ascii="Lato" w:hAnsi="Lato"/>
        </w:rPr>
        <w:t xml:space="preserve"> wskaźnik dla tej aglomeracji powinien być wyższy -</w:t>
      </w:r>
      <w:r w:rsidR="00501809" w:rsidRPr="000D5490">
        <w:rPr>
          <w:rFonts w:ascii="Lato" w:hAnsi="Lato"/>
        </w:rPr>
        <w:t xml:space="preserve"> </w:t>
      </w:r>
      <w:r w:rsidR="00BF4E4D" w:rsidRPr="000D5490">
        <w:rPr>
          <w:rFonts w:ascii="Lato" w:hAnsi="Lato" w:cs="Lato"/>
        </w:rPr>
        <w:t xml:space="preserve">przyjęto jeden mnożnik </w:t>
      </w:r>
      <w:r w:rsidR="00BF4E4D" w:rsidRPr="000D5490">
        <w:rPr>
          <w:rFonts w:ascii="Lato" w:hAnsi="Lato" w:cs="Lato"/>
          <w:b/>
        </w:rPr>
        <w:t>– 4.</w:t>
      </w:r>
      <w:r w:rsidR="00A22661" w:rsidRPr="000D5490">
        <w:rPr>
          <w:rFonts w:ascii="Lato" w:hAnsi="Lato" w:cs="Lato"/>
          <w:b/>
        </w:rPr>
        <w:t>0</w:t>
      </w:r>
    </w:p>
    <w:p w:rsidR="00A85633" w:rsidRPr="000D5490" w:rsidRDefault="00A85633" w:rsidP="00A85633">
      <w:pPr>
        <w:pStyle w:val="Akapitzlist"/>
        <w:spacing w:after="120" w:line="240" w:lineRule="auto"/>
        <w:jc w:val="both"/>
        <w:rPr>
          <w:rFonts w:ascii="Lato" w:hAnsi="Lato" w:cs="Lato"/>
        </w:rPr>
      </w:pPr>
    </w:p>
    <w:p w:rsidR="00B40A53" w:rsidRPr="000D5490" w:rsidRDefault="00E14625" w:rsidP="003803E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 w:cs="Lato"/>
        </w:rPr>
      </w:pPr>
      <w:r w:rsidRPr="000D5490">
        <w:rPr>
          <w:rFonts w:ascii="Lato" w:hAnsi="Lato" w:cs="Lato"/>
        </w:rPr>
        <w:lastRenderedPageBreak/>
        <w:t xml:space="preserve">Aglomeracja Warszawska – powiaty leżące wokół Warszawy – KSP – mnożnik ujednolicony do poziomu </w:t>
      </w:r>
      <w:r w:rsidR="00A22661" w:rsidRPr="000D5490">
        <w:rPr>
          <w:rFonts w:ascii="Lato" w:hAnsi="Lato" w:cs="Lato"/>
          <w:b/>
        </w:rPr>
        <w:t>4.5</w:t>
      </w:r>
      <w:r w:rsidR="007E20CB" w:rsidRPr="000D5490">
        <w:rPr>
          <w:rFonts w:ascii="Lato" w:hAnsi="Lato" w:cs="Lato"/>
        </w:rPr>
        <w:t>.</w:t>
      </w:r>
    </w:p>
    <w:p w:rsidR="007E20CB" w:rsidRPr="000D5490" w:rsidRDefault="007E20CB" w:rsidP="007E20CB">
      <w:pPr>
        <w:pStyle w:val="Akapitzlist"/>
        <w:spacing w:after="120" w:line="240" w:lineRule="auto"/>
        <w:jc w:val="both"/>
        <w:rPr>
          <w:rFonts w:ascii="Lato" w:hAnsi="Lato" w:cs="Lato"/>
        </w:rPr>
      </w:pPr>
    </w:p>
    <w:p w:rsidR="007E20CB" w:rsidRPr="000D5490" w:rsidRDefault="007E20CB" w:rsidP="003803E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Lato" w:hAnsi="Lato" w:cs="Lato"/>
          <w:b/>
        </w:rPr>
      </w:pPr>
      <w:r w:rsidRPr="000D5490">
        <w:rPr>
          <w:rFonts w:ascii="Lato" w:hAnsi="Lato" w:cs="Lato"/>
        </w:rPr>
        <w:t xml:space="preserve">Trójmiasto – jeden wskaźnik – </w:t>
      </w:r>
      <w:r w:rsidRPr="000D5490">
        <w:rPr>
          <w:rFonts w:ascii="Lato" w:hAnsi="Lato" w:cs="Lato"/>
          <w:b/>
        </w:rPr>
        <w:t>5,00.</w:t>
      </w:r>
    </w:p>
    <w:p w:rsidR="00C01E75" w:rsidRPr="000D5490" w:rsidRDefault="00C01E75" w:rsidP="00C01E75">
      <w:pPr>
        <w:pStyle w:val="Akapitzlist"/>
        <w:spacing w:after="120" w:line="240" w:lineRule="auto"/>
        <w:jc w:val="both"/>
        <w:rPr>
          <w:rFonts w:ascii="Lato" w:hAnsi="Lato" w:cs="Lato"/>
        </w:rPr>
      </w:pPr>
    </w:p>
    <w:p w:rsidR="00C01E75" w:rsidRPr="000D5490" w:rsidRDefault="00C01E75" w:rsidP="00C01E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</w:rPr>
      </w:pPr>
      <w:r w:rsidRPr="000D5490">
        <w:rPr>
          <w:rFonts w:ascii="Lato" w:hAnsi="Lato" w:cs="TimesNewRomanPSMT"/>
        </w:rPr>
        <w:t>W powiatach, w których wysokość mnożnika lokalizacyjnego obliczona na podstawie cen najmu osiągała wartość poniżej 3,0, mnożnik lokalizacyjny został przyjęty w wysokości 3,0.</w:t>
      </w:r>
    </w:p>
    <w:p w:rsidR="00C01E75" w:rsidRPr="000D5490" w:rsidRDefault="00C01E75" w:rsidP="00C01E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</w:rPr>
      </w:pPr>
    </w:p>
    <w:p w:rsidR="00C01E75" w:rsidRPr="000D5490" w:rsidRDefault="000D5490" w:rsidP="009F7A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</w:rPr>
      </w:pPr>
      <w:r w:rsidRPr="000D5490">
        <w:rPr>
          <w:rFonts w:ascii="Lato" w:hAnsi="Lato" w:cs="TimesNewRomanPSMT"/>
        </w:rPr>
        <w:t xml:space="preserve">Z perspektywy </w:t>
      </w:r>
      <w:bookmarkStart w:id="0" w:name="_GoBack"/>
      <w:bookmarkEnd w:id="0"/>
      <w:r>
        <w:rPr>
          <w:rFonts w:ascii="Lato" w:hAnsi="Lato" w:cs="TimesNewRomanPSMT"/>
        </w:rPr>
        <w:t xml:space="preserve">liczby </w:t>
      </w:r>
      <w:r w:rsidRPr="000D5490">
        <w:rPr>
          <w:rFonts w:ascii="Lato" w:hAnsi="Lato" w:cs="TimesNewRomanPSMT"/>
        </w:rPr>
        <w:t xml:space="preserve">wakatów występujących w poszczególnych służbach (Policja, SG, PSP) przyjęto, że mnożnik lokalizacyjnych </w:t>
      </w:r>
      <w:r>
        <w:rPr>
          <w:rFonts w:ascii="Lato" w:hAnsi="Lato" w:cs="TimesNewRomanPSMT"/>
        </w:rPr>
        <w:t xml:space="preserve">w danym powiecie </w:t>
      </w:r>
      <w:r w:rsidRPr="000D5490">
        <w:rPr>
          <w:rFonts w:ascii="Lato" w:hAnsi="Lato" w:cs="TimesNewRomanPSMT"/>
        </w:rPr>
        <w:t>będzie taki sam dla każdej ze służb.</w:t>
      </w:r>
    </w:p>
    <w:sectPr w:rsidR="00C01E75" w:rsidRPr="000D5490" w:rsidSect="00A7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BB" w:rsidRDefault="00C53BBB" w:rsidP="00A85633">
      <w:pPr>
        <w:spacing w:after="0" w:line="240" w:lineRule="auto"/>
      </w:pPr>
      <w:r>
        <w:separator/>
      </w:r>
    </w:p>
  </w:endnote>
  <w:endnote w:type="continuationSeparator" w:id="0">
    <w:p w:rsidR="00C53BBB" w:rsidRDefault="00C53BBB" w:rsidP="00A8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BB" w:rsidRDefault="00C53BBB" w:rsidP="00A85633">
      <w:pPr>
        <w:spacing w:after="0" w:line="240" w:lineRule="auto"/>
      </w:pPr>
      <w:r>
        <w:separator/>
      </w:r>
    </w:p>
  </w:footnote>
  <w:footnote w:type="continuationSeparator" w:id="0">
    <w:p w:rsidR="00C53BBB" w:rsidRDefault="00C53BBB" w:rsidP="00A8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E60"/>
    <w:multiLevelType w:val="hybridMultilevel"/>
    <w:tmpl w:val="E78C7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148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4EC"/>
    <w:multiLevelType w:val="hybridMultilevel"/>
    <w:tmpl w:val="E4F2A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F63ED"/>
    <w:multiLevelType w:val="hybridMultilevel"/>
    <w:tmpl w:val="851CF214"/>
    <w:lvl w:ilvl="0" w:tplc="99B8AA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5074CE"/>
    <w:multiLevelType w:val="hybridMultilevel"/>
    <w:tmpl w:val="84982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82D49"/>
    <w:multiLevelType w:val="hybridMultilevel"/>
    <w:tmpl w:val="E78C7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148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7A88"/>
    <w:multiLevelType w:val="hybridMultilevel"/>
    <w:tmpl w:val="FDC88916"/>
    <w:lvl w:ilvl="0" w:tplc="B628B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8B0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67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C2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CB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87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AF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C7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8E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345A1"/>
    <w:multiLevelType w:val="hybridMultilevel"/>
    <w:tmpl w:val="8B86F7FE"/>
    <w:lvl w:ilvl="0" w:tplc="F4E8E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4C"/>
    <w:rsid w:val="000C24B4"/>
    <w:rsid w:val="000D13CE"/>
    <w:rsid w:val="000D5490"/>
    <w:rsid w:val="000F0118"/>
    <w:rsid w:val="00143722"/>
    <w:rsid w:val="00165A65"/>
    <w:rsid w:val="0021385A"/>
    <w:rsid w:val="00274C3A"/>
    <w:rsid w:val="00276F78"/>
    <w:rsid w:val="002825C4"/>
    <w:rsid w:val="0035463C"/>
    <w:rsid w:val="003803E0"/>
    <w:rsid w:val="003A2F8C"/>
    <w:rsid w:val="00430D14"/>
    <w:rsid w:val="00432BBA"/>
    <w:rsid w:val="004A071B"/>
    <w:rsid w:val="00501809"/>
    <w:rsid w:val="005042DA"/>
    <w:rsid w:val="00530FB7"/>
    <w:rsid w:val="0053259B"/>
    <w:rsid w:val="005328C0"/>
    <w:rsid w:val="00542599"/>
    <w:rsid w:val="00614FC7"/>
    <w:rsid w:val="00694BFC"/>
    <w:rsid w:val="007160D6"/>
    <w:rsid w:val="007253D9"/>
    <w:rsid w:val="007564A9"/>
    <w:rsid w:val="007E20CB"/>
    <w:rsid w:val="008039EA"/>
    <w:rsid w:val="0085674C"/>
    <w:rsid w:val="008A3D2F"/>
    <w:rsid w:val="008B7B14"/>
    <w:rsid w:val="008C2DB7"/>
    <w:rsid w:val="008E4C30"/>
    <w:rsid w:val="008F16A0"/>
    <w:rsid w:val="00906D2F"/>
    <w:rsid w:val="009630EF"/>
    <w:rsid w:val="00965BD0"/>
    <w:rsid w:val="009D71BB"/>
    <w:rsid w:val="00A22661"/>
    <w:rsid w:val="00A6627E"/>
    <w:rsid w:val="00A77C14"/>
    <w:rsid w:val="00A85633"/>
    <w:rsid w:val="00AB4B27"/>
    <w:rsid w:val="00AB55E1"/>
    <w:rsid w:val="00AE7CD1"/>
    <w:rsid w:val="00B00990"/>
    <w:rsid w:val="00B36B8C"/>
    <w:rsid w:val="00B40A53"/>
    <w:rsid w:val="00B62695"/>
    <w:rsid w:val="00BF4E4D"/>
    <w:rsid w:val="00BF5DA7"/>
    <w:rsid w:val="00C01E75"/>
    <w:rsid w:val="00C027FA"/>
    <w:rsid w:val="00C036F6"/>
    <w:rsid w:val="00C15BA9"/>
    <w:rsid w:val="00C32718"/>
    <w:rsid w:val="00C53BBB"/>
    <w:rsid w:val="00C55270"/>
    <w:rsid w:val="00D01140"/>
    <w:rsid w:val="00D4566B"/>
    <w:rsid w:val="00D863F2"/>
    <w:rsid w:val="00DC7D3C"/>
    <w:rsid w:val="00E14625"/>
    <w:rsid w:val="00E51236"/>
    <w:rsid w:val="00E557DA"/>
    <w:rsid w:val="00EC2A9A"/>
    <w:rsid w:val="00F46137"/>
    <w:rsid w:val="00F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3493"/>
  <w15:docId w15:val="{DB05E5E6-FB88-4DE5-BC01-5DC379E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4"/>
  </w:style>
  <w:style w:type="paragraph" w:styleId="Nagwek1">
    <w:name w:val="heading 1"/>
    <w:basedOn w:val="Normalny"/>
    <w:link w:val="Nagwek1Znak"/>
    <w:uiPriority w:val="9"/>
    <w:qFormat/>
    <w:rsid w:val="00C1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5674C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674C"/>
    <w:rPr>
      <w:rFonts w:ascii="Calibri" w:eastAsia="Times New Roman" w:hAnsi="Calibri" w:cs="Times New Roman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D456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566B"/>
    <w:pPr>
      <w:ind w:left="720"/>
      <w:contextualSpacing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21385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5B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C1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C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C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D1"/>
    <w:rPr>
      <w:rFonts w:ascii="Segoe UI" w:hAnsi="Segoe UI" w:cs="Segoe UI"/>
      <w:sz w:val="18"/>
      <w:szCs w:val="18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9630EF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9630E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630E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630EF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6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3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47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Maliszewski Adam</dc:creator>
  <cp:lastModifiedBy>Leoniak Renata</cp:lastModifiedBy>
  <cp:revision>3</cp:revision>
  <cp:lastPrinted>2025-06-06T13:05:00Z</cp:lastPrinted>
  <dcterms:created xsi:type="dcterms:W3CDTF">2025-06-06T13:37:00Z</dcterms:created>
  <dcterms:modified xsi:type="dcterms:W3CDTF">2025-06-06T13:45:00Z</dcterms:modified>
</cp:coreProperties>
</file>